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3_0"/>
    <w:p w:rsidR="00A161FF" w:rsidRPr="00224825" w:rsidRDefault="006361D5" w:rsidP="000E51B4">
      <w:pPr>
        <w:widowControl w:val="0"/>
        <w:spacing w:line="266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482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" behindDoc="1" locked="0" layoutInCell="0" allowOverlap="1" wp14:anchorId="0EE8BFD3" wp14:editId="1213BDE6">
                <wp:simplePos x="0" y="0"/>
                <wp:positionH relativeFrom="page">
                  <wp:posOffset>1054735</wp:posOffset>
                </wp:positionH>
                <wp:positionV relativeFrom="paragraph">
                  <wp:posOffset>603884</wp:posOffset>
                </wp:positionV>
                <wp:extent cx="5271134" cy="1079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134" cy="10794"/>
                          <a:chOff x="0" y="0"/>
                          <a:chExt cx="5271134" cy="1079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10794"/>
                            <a:ext cx="5264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150">
                                <a:moveTo>
                                  <a:pt x="0" y="0"/>
                                </a:moveTo>
                                <a:lnTo>
                                  <a:pt x="5264150" y="0"/>
                                </a:lnTo>
                              </a:path>
                            </a:pathLst>
                          </a:custGeom>
                          <a:noFill/>
                          <a:ln w="7967" cap="rnd">
                            <a:solidFill>
                              <a:srgbClr val="00000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271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1134">
                                <a:moveTo>
                                  <a:pt x="0" y="0"/>
                                </a:moveTo>
                                <a:lnTo>
                                  <a:pt x="527113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3.05pt;margin-top:47.55pt;width:415.05pt;height:.85pt;z-index:-503316476;mso-position-horizontal-relative:page" coordsize="5271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" o:allowincell="f">
                <v:shape id="Shape 4" o:spid="_x0000_s1027" style="position:absolute;top:107;width:52641;height:0;visibility:visible;mso-wrap-style:square;v-text-anchor:top" coordsize="5264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mZsMA&#10;AADaAAAADwAAAGRycy9kb3ducmV2LnhtbESPzWrDMBCE74W8g9hAbo3cYJriRAklEAikl7g9NLet&#10;tbFErJWx5J++fVUo9DjMzDfMdj+5RgzUBetZwdMyA0FceW25VvDxfnx8AREissbGMyn4pgD73exh&#10;i4X2I19oKGMtEoRDgQpMjG0hZagMOQxL3xIn7+Y7hzHJrpa6wzHBXSNXWfYsHVpOCwZbOhiq7mXv&#10;FNz5YkvbXz+d4bfQrKdzfl1/KbWYT68bEJGm+B/+a5+0ghx+r6Qb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mZsMAAADaAAAADwAAAAAAAAAAAAAAAACYAgAAZHJzL2Rv&#10;d25yZXYueG1sUEsFBgAAAAAEAAQA9QAAAIgDAAAAAA==&#10;" path="m,l5264150,e" filled="f" strokecolor="#000008" strokeweight=".22131mm">
                  <v:stroke endcap="round"/>
                  <v:path arrowok="t" textboxrect="0,0,5264150,0"/>
                </v:shape>
                <v:shape id="Shape 5" o:spid="_x0000_s1028" style="position:absolute;width:52711;height:0;visibility:visible;mso-wrap-style:square;v-text-anchor:top" coordsize="52711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QJUsQA&#10;AADaAAAADwAAAGRycy9kb3ducmV2LnhtbESPQWvCQBSE74X+h+UVequbChWJrsEUKh6UohZ6fck+&#10;s8Hs2zS7muivdwuFHoeZ+YaZZ4NtxIU6XztW8DpKQBCXTtdcKfg6fLxMQfiArLFxTAqu5CFbPD7M&#10;MdWu5x1d9qESEcI+RQUmhDaV0peGLPqRa4mjd3SdxRBlV0ndYR/htpHjJJlIizXHBYMtvRsqT/uz&#10;VfB9uBXFz3Y1npzbTZ/rz9wVV6PU89OwnIEINIT/8F97rRW8we+Ve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kCVLEAAAA2gAAAA8AAAAAAAAAAAAAAAAAmAIAAGRycy9k&#10;b3ducmV2LnhtbFBLBQYAAAAABAAEAPUAAACJAwAAAAA=&#10;" path="m,l5271134,e" filled="f" strokecolor="#000009" strokeweight="1.44pt">
                  <v:path arrowok="t" textboxrect="0,0,5271134,0"/>
                </v:shape>
                <w10:wrap anchorx="page"/>
              </v:group>
            </w:pict>
          </mc:Fallback>
        </mc:AlternateContent>
      </w:r>
      <w:r w:rsidR="000E51B4" w:rsidRPr="0022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0E51B4" w:rsidRPr="00224825" w:rsidRDefault="000E51B4">
      <w:pPr>
        <w:widowControl w:val="0"/>
        <w:spacing w:line="266" w:lineRule="auto"/>
        <w:ind w:left="1238" w:right="2030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</w:pPr>
      <w:r w:rsidRPr="0022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«Средняя общеобразовательная школа № 3»</w:t>
      </w:r>
    </w:p>
    <w:p w:rsidR="00A161FF" w:rsidRDefault="00A161FF" w:rsidP="0022482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1FF" w:rsidRDefault="00A161FF" w:rsidP="0022482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47"/>
      </w:tblGrid>
      <w:tr w:rsidR="000D1FF7" w:rsidTr="00840BBD">
        <w:trPr>
          <w:trHeight w:val="1778"/>
        </w:trPr>
        <w:tc>
          <w:tcPr>
            <w:tcW w:w="5018" w:type="dxa"/>
          </w:tcPr>
          <w:p w:rsidR="000D1FF7" w:rsidRPr="000E51B4" w:rsidRDefault="000D1FF7" w:rsidP="000D1FF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0D1FF7" w:rsidRDefault="000D1FF7" w:rsidP="000D1FF7">
            <w:pPr>
              <w:spacing w:after="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1FF7" w:rsidRPr="000E51B4" w:rsidRDefault="000D1FF7" w:rsidP="000D1FF7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Педагогическом </w:t>
            </w:r>
            <w:proofErr w:type="gramStart"/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совете</w:t>
            </w:r>
            <w:proofErr w:type="gramEnd"/>
          </w:p>
          <w:p w:rsidR="000D1FF7" w:rsidRPr="000D1FF7" w:rsidRDefault="000D1FF7" w:rsidP="00F41D8F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Pr="00F4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№ </w:t>
            </w:r>
            <w:r w:rsidR="00F41D8F" w:rsidRPr="00F4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  <w:r w:rsidRPr="00F4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от «</w:t>
            </w:r>
            <w:r w:rsidR="00F41D8F" w:rsidRPr="00F4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</w:t>
            </w:r>
            <w:r w:rsidRPr="00F4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» </w:t>
            </w:r>
            <w:r w:rsidR="00F41D8F" w:rsidRPr="00F4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августа</w:t>
            </w:r>
            <w:r w:rsidRPr="00F4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F41D8F" w:rsidRPr="00F4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2024</w:t>
            </w:r>
            <w:r w:rsidRPr="00F41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г.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_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Т.А. Пидоря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998" w:type="dxa"/>
          </w:tcPr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Приказом </w:t>
            </w:r>
            <w:bookmarkStart w:id="1" w:name="_GoBack"/>
            <w:r w:rsidRPr="00F41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№ </w:t>
            </w:r>
            <w:r w:rsidR="00F41D8F" w:rsidRPr="00F41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85/2</w:t>
            </w:r>
            <w:r w:rsidRPr="00F41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от «</w:t>
            </w:r>
            <w:r w:rsidR="00F41D8F" w:rsidRPr="00F41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30</w:t>
            </w:r>
            <w:r w:rsidRPr="00F41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» </w:t>
            </w:r>
            <w:r w:rsidR="00F41D8F" w:rsidRPr="00F41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августа</w:t>
            </w:r>
            <w:r w:rsidRPr="00F41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20</w:t>
            </w:r>
            <w:r w:rsidR="00F41D8F" w:rsidRPr="00F41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24</w:t>
            </w:r>
            <w:r w:rsidRPr="00F41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г.</w:t>
            </w:r>
            <w:bookmarkEnd w:id="1"/>
          </w:p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СОШ  № 3</w:t>
            </w:r>
          </w:p>
          <w:p w:rsidR="000D1FF7" w:rsidRPr="000E51B4" w:rsidRDefault="000D1FF7" w:rsidP="000D1FF7">
            <w:pPr>
              <w:widowControl w:val="0"/>
              <w:spacing w:before="5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 С.В. Патрушева</w:t>
            </w:r>
          </w:p>
          <w:p w:rsidR="000D1FF7" w:rsidRDefault="000D1FF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61FF" w:rsidRPr="00923262" w:rsidRDefault="00A161FF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727E42" w:rsidRPr="00A846A9" w:rsidRDefault="00727E42" w:rsidP="00A846A9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846A9">
        <w:rPr>
          <w:rFonts w:ascii="Times New Roman" w:hAnsi="Times New Roman" w:cs="Times New Roman"/>
          <w:b/>
          <w:sz w:val="26"/>
          <w:szCs w:val="26"/>
        </w:rPr>
        <w:t>Антикоррупционная политика</w:t>
      </w:r>
    </w:p>
    <w:p w:rsidR="00A846A9" w:rsidRDefault="00A846A9" w:rsidP="00A846A9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846A9">
        <w:rPr>
          <w:rFonts w:ascii="Times New Roman" w:hAnsi="Times New Roman" w:cs="Times New Roman"/>
          <w:b/>
          <w:sz w:val="26"/>
          <w:szCs w:val="26"/>
        </w:rPr>
        <w:t>МБОУ «СОШ № 3»</w:t>
      </w:r>
    </w:p>
    <w:p w:rsidR="00A846A9" w:rsidRPr="00A846A9" w:rsidRDefault="00A846A9" w:rsidP="00A846A9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A846A9" w:rsidRPr="00A846A9" w:rsidRDefault="00727E42" w:rsidP="00A846A9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846A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A846A9" w:rsidRDefault="00727E42" w:rsidP="00727E4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1.1. Настоящая антикоррупционная политика Муниципального </w:t>
      </w:r>
      <w:r w:rsidR="00A846A9">
        <w:rPr>
          <w:rFonts w:ascii="Times New Roman" w:hAnsi="Times New Roman" w:cs="Times New Roman"/>
          <w:sz w:val="26"/>
          <w:szCs w:val="26"/>
        </w:rPr>
        <w:t>бюджетного</w:t>
      </w:r>
      <w:r w:rsidRPr="00727E42">
        <w:rPr>
          <w:rFonts w:ascii="Times New Roman" w:hAnsi="Times New Roman" w:cs="Times New Roman"/>
          <w:sz w:val="26"/>
          <w:szCs w:val="26"/>
        </w:rPr>
        <w:t xml:space="preserve"> общеобразовательного учреждения </w:t>
      </w:r>
      <w:r w:rsidR="00A846A9">
        <w:rPr>
          <w:rFonts w:ascii="Times New Roman" w:hAnsi="Times New Roman" w:cs="Times New Roman"/>
          <w:sz w:val="26"/>
          <w:szCs w:val="26"/>
        </w:rPr>
        <w:t>«С</w:t>
      </w:r>
      <w:r w:rsidRPr="00727E42">
        <w:rPr>
          <w:rFonts w:ascii="Times New Roman" w:hAnsi="Times New Roman" w:cs="Times New Roman"/>
          <w:sz w:val="26"/>
          <w:szCs w:val="26"/>
        </w:rPr>
        <w:t>редней общеобразовательной школы №</w:t>
      </w:r>
      <w:r w:rsidR="00A846A9">
        <w:rPr>
          <w:rFonts w:ascii="Times New Roman" w:hAnsi="Times New Roman" w:cs="Times New Roman"/>
          <w:sz w:val="26"/>
          <w:szCs w:val="26"/>
        </w:rPr>
        <w:t xml:space="preserve"> 3» (дал</w:t>
      </w:r>
      <w:r w:rsidRPr="00727E42">
        <w:rPr>
          <w:rFonts w:ascii="Times New Roman" w:hAnsi="Times New Roman" w:cs="Times New Roman"/>
          <w:sz w:val="26"/>
          <w:szCs w:val="26"/>
        </w:rPr>
        <w:t xml:space="preserve">ее – Политика) составлена в рамках исполнения Федерального закона от 25.12.2008 </w:t>
      </w:r>
      <w:r w:rsidR="00A846A9">
        <w:rPr>
          <w:rFonts w:ascii="Times New Roman" w:hAnsi="Times New Roman" w:cs="Times New Roman"/>
          <w:sz w:val="26"/>
          <w:szCs w:val="26"/>
        </w:rPr>
        <w:t xml:space="preserve">г. </w:t>
      </w:r>
      <w:r w:rsidRPr="00727E42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 с целью реализации мер по предупреждению коррупции. </w:t>
      </w:r>
    </w:p>
    <w:p w:rsidR="00A846A9" w:rsidRDefault="00727E42" w:rsidP="00727E4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1.2. Политика </w:t>
      </w:r>
      <w:r w:rsidR="00A846A9">
        <w:rPr>
          <w:rFonts w:ascii="Times New Roman" w:hAnsi="Times New Roman" w:cs="Times New Roman"/>
          <w:sz w:val="26"/>
          <w:szCs w:val="26"/>
        </w:rPr>
        <w:t>МБОУ «СОШ № 3»</w:t>
      </w:r>
      <w:r w:rsidRPr="00727E42">
        <w:rPr>
          <w:rFonts w:ascii="Times New Roman" w:hAnsi="Times New Roman" w:cs="Times New Roman"/>
          <w:sz w:val="26"/>
          <w:szCs w:val="26"/>
        </w:rPr>
        <w:t xml:space="preserve"> представляет собой комплекс закрепленных взаимосвязанных принципов, процедур и мероприятий, направленных на профилактику и пресечение коррупционных правонарушений в деятельности </w:t>
      </w:r>
      <w:r w:rsidR="00A846A9">
        <w:rPr>
          <w:rFonts w:ascii="Times New Roman" w:hAnsi="Times New Roman" w:cs="Times New Roman"/>
          <w:sz w:val="26"/>
          <w:szCs w:val="26"/>
        </w:rPr>
        <w:t xml:space="preserve">МБОУ «СОШ № 3» </w:t>
      </w:r>
      <w:r w:rsidRPr="00727E42">
        <w:rPr>
          <w:rFonts w:ascii="Times New Roman" w:hAnsi="Times New Roman" w:cs="Times New Roman"/>
          <w:sz w:val="26"/>
          <w:szCs w:val="26"/>
        </w:rPr>
        <w:t xml:space="preserve">(далее – Организация). </w:t>
      </w:r>
    </w:p>
    <w:p w:rsidR="00A846A9" w:rsidRDefault="00727E42" w:rsidP="00727E4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1.3. Положения Политики распространяются на всех работников вне зависимости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занимаемой должности. </w:t>
      </w:r>
    </w:p>
    <w:p w:rsidR="00900283" w:rsidRDefault="00727E42" w:rsidP="00727E4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1.4. Для целей Политики используются следующие основные понятия: </w:t>
      </w:r>
    </w:p>
    <w:p w:rsidR="00900283" w:rsidRDefault="00727E42" w:rsidP="00900283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подобных деяний от имени или в интересах юридического лица; </w:t>
      </w:r>
    </w:p>
    <w:p w:rsidR="00900283" w:rsidRDefault="00727E42" w:rsidP="00900283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727E42">
        <w:rPr>
          <w:rFonts w:ascii="Times New Roman" w:hAnsi="Times New Roman" w:cs="Times New Roman"/>
          <w:sz w:val="26"/>
          <w:szCs w:val="26"/>
        </w:rPr>
        <w:t xml:space="preserve">взятка – деньги, ценные бумаги, иное имущества либо незаконное оказание услуг имущественного характера, предоставление иных имущественных прав, </w:t>
      </w:r>
      <w:r w:rsidRPr="00727E42">
        <w:rPr>
          <w:rFonts w:ascii="Times New Roman" w:hAnsi="Times New Roman" w:cs="Times New Roman"/>
          <w:sz w:val="26"/>
          <w:szCs w:val="26"/>
        </w:rPr>
        <w:lastRenderedPageBreak/>
        <w:t xml:space="preserve">передаваемые должностному лицу, в том </w:t>
      </w:r>
      <w:r w:rsidR="00900283" w:rsidRPr="00727E42">
        <w:rPr>
          <w:rFonts w:ascii="Times New Roman" w:hAnsi="Times New Roman" w:cs="Times New Roman"/>
          <w:sz w:val="26"/>
          <w:szCs w:val="26"/>
        </w:rPr>
        <w:t>числе,</w:t>
      </w:r>
      <w:r w:rsidRPr="00727E42">
        <w:rPr>
          <w:rFonts w:ascii="Times New Roman" w:hAnsi="Times New Roman" w:cs="Times New Roman"/>
          <w:sz w:val="26"/>
          <w:szCs w:val="26"/>
        </w:rPr>
        <w:t xml:space="preserve"> когда взятка по указанию должностного лица передается иному физическому или юридическому лицу,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должностного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положения может способствовать таким действиям (бездействию), а равно за общее покровительство или попустительство по службе; </w:t>
      </w:r>
    </w:p>
    <w:p w:rsidR="00900283" w:rsidRDefault="00727E42" w:rsidP="00900283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727E42">
        <w:rPr>
          <w:rFonts w:ascii="Times New Roman" w:hAnsi="Times New Roman" w:cs="Times New Roman"/>
          <w:sz w:val="26"/>
          <w:szCs w:val="26"/>
        </w:rPr>
        <w:t xml:space="preserve">коммерческий подкуп – 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прав (в том </w:t>
      </w:r>
      <w:r w:rsidR="00900283" w:rsidRPr="00727E42">
        <w:rPr>
          <w:rFonts w:ascii="Times New Roman" w:hAnsi="Times New Roman" w:cs="Times New Roman"/>
          <w:sz w:val="26"/>
          <w:szCs w:val="26"/>
        </w:rPr>
        <w:t>числе,</w:t>
      </w:r>
      <w:r w:rsidRPr="00727E42">
        <w:rPr>
          <w:rFonts w:ascii="Times New Roman" w:hAnsi="Times New Roman" w:cs="Times New Roman"/>
          <w:sz w:val="26"/>
          <w:szCs w:val="26"/>
        </w:rPr>
        <w:t xml:space="preserve"> когда по 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 совершение действий (бездействие) в интересах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дающего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указанным действиям (бездействию); </w:t>
      </w:r>
    </w:p>
    <w:p w:rsidR="00900283" w:rsidRDefault="00727E42" w:rsidP="00900283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 физических лиц в пределах их полномочий: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1)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2) выявлению, предупреждению, пресечению, раскрытию и расследованию коррупционных правонарушений (борьба с коррупцией);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3) минимизации и (или) ликвидации последствий коррупционных правонарушений; контрагент – любое юридическое или физическое лицо, с которым Организация вступает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договорные отношения, за </w:t>
      </w:r>
      <w:r w:rsidR="00900283">
        <w:rPr>
          <w:rFonts w:ascii="Times New Roman" w:hAnsi="Times New Roman" w:cs="Times New Roman"/>
          <w:sz w:val="26"/>
          <w:szCs w:val="26"/>
        </w:rPr>
        <w:t>исключением трудовых отношений;</w:t>
      </w:r>
    </w:p>
    <w:p w:rsidR="00900283" w:rsidRDefault="00727E42" w:rsidP="00900283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конфликт интересов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 </w:t>
      </w:r>
    </w:p>
    <w:p w:rsidR="00900283" w:rsidRDefault="00727E42" w:rsidP="00900283">
      <w:pPr>
        <w:pStyle w:val="a9"/>
        <w:numPr>
          <w:ilvl w:val="0"/>
          <w:numId w:val="1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727E42">
        <w:rPr>
          <w:rFonts w:ascii="Times New Roman" w:hAnsi="Times New Roman" w:cs="Times New Roman"/>
          <w:sz w:val="26"/>
          <w:szCs w:val="26"/>
        </w:rPr>
        <w:lastRenderedPageBreak/>
        <w:t>личная заинтересованность –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</w:t>
      </w:r>
      <w:r w:rsidR="00900283">
        <w:rPr>
          <w:rFonts w:ascii="Times New Roman" w:hAnsi="Times New Roman" w:cs="Times New Roman"/>
          <w:sz w:val="26"/>
          <w:szCs w:val="26"/>
        </w:rPr>
        <w:t xml:space="preserve"> </w:t>
      </w:r>
      <w:r w:rsidRPr="00727E42">
        <w:rPr>
          <w:rFonts w:ascii="Times New Roman" w:hAnsi="Times New Roman" w:cs="Times New Roman"/>
          <w:sz w:val="26"/>
          <w:szCs w:val="26"/>
        </w:rPr>
        <w:t>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(или) лица, состоящие с ним в близком родстве или свойстве, связаны имущественными, корпоративными или иными близкими отношениями. </w:t>
      </w:r>
    </w:p>
    <w:p w:rsidR="00900283" w:rsidRPr="00900283" w:rsidRDefault="00727E42" w:rsidP="00900283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00283">
        <w:rPr>
          <w:rFonts w:ascii="Times New Roman" w:hAnsi="Times New Roman" w:cs="Times New Roman"/>
          <w:b/>
          <w:sz w:val="26"/>
          <w:szCs w:val="26"/>
        </w:rPr>
        <w:t>2. Цели и задачи Политики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2.1. Целями Политики являются: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обеспечение соответствия деятельности Организации требованиям антикоррупционного законодательства;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минимизация рисков вовлечения Организации и его работников в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коррупционную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деятельность;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формирование единого подхода к организации работы по предупреждению коррупции в Организации;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формирование у работников нетерпимости к коррупционному поведению.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Для достижения поставленных целей необ</w:t>
      </w:r>
      <w:r w:rsidR="00900283">
        <w:rPr>
          <w:rFonts w:ascii="Times New Roman" w:hAnsi="Times New Roman" w:cs="Times New Roman"/>
          <w:sz w:val="26"/>
          <w:szCs w:val="26"/>
        </w:rPr>
        <w:t>ходимо решить следующие задачи:</w:t>
      </w:r>
      <w:proofErr w:type="gramEnd"/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сформировать у работников единообразное понимание позиции Организации о неприятии коррупции в любых формах и проявлениях;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минимизировать риски вовлечения работников в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коррупционную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деятельность;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определить должностных лиц, ответственных за реализацию Политики и антикоррупционных мер;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информировать работников о нормативном правовом обеспечении работы по предупреждению коррупции и ответственности за совершение коррупционных правонарушений.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2.3. Ключевыми принципами реализации Политики являются: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1) неприятие коррупции в любых формах и проявлениях. Организация содействует воспитанию правового и гражданского сознания работников путем формирования негативного отношения к коррупционным проявлениям;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2) эффективность мероприятий по противодействию коррупции. Создание эффективной системы противодействия коррупции, а также ее систематическое </w:t>
      </w:r>
      <w:r w:rsidRPr="00727E42">
        <w:rPr>
          <w:rFonts w:ascii="Times New Roman" w:hAnsi="Times New Roman" w:cs="Times New Roman"/>
          <w:sz w:val="26"/>
          <w:szCs w:val="26"/>
        </w:rPr>
        <w:lastRenderedPageBreak/>
        <w:t xml:space="preserve">совершенствование с учетом изменения условий внутренней и внешней среды, в том числе законодательства РФ;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3) открытость информации.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 xml:space="preserve">Обеспечение доступности для граждан, юридических лиц, средств массовой информации и институтов гражданского общества к сведениям о своей деятельности, которые в соответствии с действующим законодательством РФ не являются сведениями ограниченного доступа. </w:t>
      </w:r>
      <w:proofErr w:type="gramEnd"/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В рамках реализации принципа открытости информации Организация создает на своем официальном сайте подраздел по вопросам противодействия коррупции. Подраздел наполняется следующей информацией: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нормативными правовыми и иными актами в сфере противодействия коррупции в действующей редакции;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внутренними документами Организации по вопросам противодействия коррупции;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памятками, плакатами иным вспомогательным материалом по вопросам профилактики коррупции. </w:t>
      </w:r>
    </w:p>
    <w:p w:rsidR="00900283" w:rsidRPr="00900283" w:rsidRDefault="00727E42" w:rsidP="00900283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00283">
        <w:rPr>
          <w:rFonts w:ascii="Times New Roman" w:hAnsi="Times New Roman" w:cs="Times New Roman"/>
          <w:b/>
          <w:sz w:val="26"/>
          <w:szCs w:val="26"/>
        </w:rPr>
        <w:t>3. Обязанности руководителей и работников, связанные с предупреждением коррупции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3.1. Работники Организации знакомятся с Политикой под подпись при принятии на работу или в течение семи рабочих дней после внесения в Политику изменений.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3.2. Руководитель и работники вне зависимости от должности и стажа работы в связи с исполнением ими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трудовых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обязанностей в соответствии с трудовым договором должны: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руководствоваться требованиями Политики и соблюдать ее;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воздерживаться от совершения и (или) участия в совершении коррупционных правонарушений, в том числе в интересах или от имени Организации;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воздерживаться от поведения, которое может быть истолковано окружающими как готовность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совершить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или участвовать в совершении коррупционного правонарушения, в том числе в интересах или от имени Организации.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3.3. Работник вне зависимости от должности и стажа работы в связи с исполнением им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трудовых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обязанностей в соответствии с трудовым договором должен: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незамедлительно информировать руководителя Организации и своего непосредственного руководителя о случаях склонения его к совершению коррупционных правонарушений;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незамедлительно информировать руководителя Организации и своего непосредственного руководителя о ставших известными ему случаях совершения коррупционных правонарушений другими работниками;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сообщить руководителю Организации и своему непосредственному руководителю о возникшем конфликте интересов либо о возможности его возникновения. </w:t>
      </w:r>
    </w:p>
    <w:p w:rsidR="00900283" w:rsidRPr="00900283" w:rsidRDefault="00727E42" w:rsidP="00900283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00283">
        <w:rPr>
          <w:rFonts w:ascii="Times New Roman" w:hAnsi="Times New Roman" w:cs="Times New Roman"/>
          <w:b/>
          <w:sz w:val="26"/>
          <w:szCs w:val="26"/>
        </w:rPr>
        <w:t>4. Должностные лица, ответственные за реализацию Политики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4.1. Руководитель Организации является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за организацию всех мероприятий, направленных на предупреждение коррупции в Организации.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4.2. Руководитель Организации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исходя из стоящих перед Организацией задач, специфики деятельности, штатной численности, организационной структуры назначает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лицо или несколько лиц, ответственных за реализацию Политики и проведение антикоррупционной работы в Организации.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 xml:space="preserve">Основные обязанности должностного лица (должностных лиц), ответственного (ответственных) за реализацию Политики и проведение антикоррупционной работы в Организации: </w:t>
      </w:r>
      <w:proofErr w:type="gramEnd"/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проводить мониторинг информации с целью предупреждения коррупционных правонарушений в Организации;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разрабатывать локальные нормативные акты, направленные на предупреждение коррупции в Организации;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реализовывать и контролировать меры по предупреждению коррупции в Организации;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оценивать коррупционные риски в Организации. </w:t>
      </w:r>
    </w:p>
    <w:p w:rsidR="00900283" w:rsidRDefault="00727E42" w:rsidP="00900283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4.4. Остальные полномочия ответственного за реализацию Политики и проведение антикоррупционной работы в Организации определяются его должностной инструкцией. </w:t>
      </w:r>
      <w:r w:rsidRPr="00900283">
        <w:rPr>
          <w:rFonts w:ascii="Times New Roman" w:hAnsi="Times New Roman" w:cs="Times New Roman"/>
          <w:b/>
          <w:sz w:val="26"/>
          <w:szCs w:val="26"/>
        </w:rPr>
        <w:t>5. Ответственность за несоблюдение требований Политики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>5.1. Руководители структурных подразделений являются ответственными за обеспечение контроля за соблюдением требовани</w:t>
      </w:r>
      <w:r w:rsidR="00900283">
        <w:rPr>
          <w:rFonts w:ascii="Times New Roman" w:hAnsi="Times New Roman" w:cs="Times New Roman"/>
          <w:sz w:val="26"/>
          <w:szCs w:val="26"/>
        </w:rPr>
        <w:t>й Политики своими подчиненными.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5.2. Лица, виновные в нарушении требований Политики и антикоррупционного законодательства, несут ответственность в порядке и по основаниям, предусмотренным законодательством РФ, в том числе могут подвергаться дисциплинарным взысканиям. </w:t>
      </w:r>
    </w:p>
    <w:p w:rsidR="00900283" w:rsidRPr="00900283" w:rsidRDefault="00727E42" w:rsidP="00900283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00283">
        <w:rPr>
          <w:rFonts w:ascii="Times New Roman" w:hAnsi="Times New Roman" w:cs="Times New Roman"/>
          <w:b/>
          <w:sz w:val="26"/>
          <w:szCs w:val="26"/>
        </w:rPr>
        <w:t>6. Оценка коррупционных рисков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lastRenderedPageBreak/>
        <w:t xml:space="preserve">6.1. Целью оценки коррупционных рисков является определение конкретных процессов и видов деятельности Организации, при реализации которых наиболее высока вероятность совершения работниками коррупционных </w:t>
      </w:r>
      <w:r w:rsidR="00900283" w:rsidRPr="00727E42">
        <w:rPr>
          <w:rFonts w:ascii="Times New Roman" w:hAnsi="Times New Roman" w:cs="Times New Roman"/>
          <w:sz w:val="26"/>
          <w:szCs w:val="26"/>
        </w:rPr>
        <w:t>правонарушений,</w:t>
      </w:r>
      <w:r w:rsidRPr="00727E42">
        <w:rPr>
          <w:rFonts w:ascii="Times New Roman" w:hAnsi="Times New Roman" w:cs="Times New Roman"/>
          <w:sz w:val="26"/>
          <w:szCs w:val="26"/>
        </w:rPr>
        <w:t xml:space="preserve"> как в целях получения личной выгоды, так и в целях получения выгоды Организацией.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6.2. Оценка коррупционных рисков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6.3. Порядок проведения оценки коррупционных рисков. Процедура оценки коррупционных рисков состоит из четырех последовательных этапов: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подготовительного;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описания процессов;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идентификации коррупционных рисков;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анализа коррупционных рисков.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6.3.1. На подготовительном этапе руководитель Организации принимает решение о проведении оценки коррупционных рисков, определяет методику и план, назначает лиц, ответственных за проведение оценки, определяет полномочия работников в связи с проведением оценки. Оценка коррупционных рисков может быть поручена работникам Организации и специальной организации, с которой заключается договор на оказание услуг.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6.3.2. На этапе описания бизнес-процессов ответственные представляют все направления деятельности Организации в форме бизнес-процессов и подпроцессов, оценивают их на наличие коррупционных рисков.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Основными критериями при определении коррупционных рисков являются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следующие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суть бизнес-процесса, предполагающая наличие лиц, стремящихся получить выгоду (преимущество), распределяемую Организацией и (или) ее отдельными работниками;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взаимодействие в рамках бизнес-процесса с 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наличие лиц, заинтересованных в получении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недоступной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им информации, которой обладают работники организации;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наличие сведений о распространенности коррупционных правонарушений при реализации бизнес-процесса в организации в прошлом или аналогичных бизнес-процессов в других организациях. К числу направлений деятельности, потенциально связанных с наиболее высокими коррупционными рисками, в первую очередь относятся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следующие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закупка товаров и услуг для нужд Организации;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получение и сдача в аренду имущества;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любые функции, предполагающие финансирование деятельности физических и юридических лиц (например, предоставление спонсорской помощи, пожертвований и т. д.).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Коррупционные риски могут возникать и в процессах управления персоналом организации, в частности при распределении фондов оплаты труда и принятии решений о премировании работников.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6.3.3. На этапе идентификации коррупционных рисков ответственные выделяют в каждом анализируемом бизнес-процессе критические точки и приводят общее описание возможностей для реализации коррупционных рисков в каждой критической точке. Признаками критической точки являются следующие: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 xml:space="preserve">наличие у 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Организации, физическому и (или) юридическому лицу, взаимодействующему с Организацией; </w:t>
      </w:r>
      <w:proofErr w:type="gramEnd"/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взаимодействие работника (группы работников) с государственным органом (иной регулирующей организацией), уполномоченным совершать действия, важные для успешной реализации бизнес-процесса и (или) успешного функционирования Организации в целом. При выявлении критических точек задаются вопросы: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какая выгода (преимущество) распределяется в рамках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данного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подпроцесса</w:t>
      </w:r>
      <w:r w:rsidR="00900283">
        <w:rPr>
          <w:rFonts w:ascii="Times New Roman" w:hAnsi="Times New Roman" w:cs="Times New Roman"/>
          <w:sz w:val="26"/>
          <w:szCs w:val="26"/>
        </w:rPr>
        <w:t>;</w:t>
      </w:r>
      <w:r w:rsidRPr="00727E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кто может быть заинтересован в неправомерном распределении этой выгоды (преимущества)?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какие коррупционные правонарушения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могут быть совершены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работником в целях неправомерного распределения этой выгоды (преимущества)?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В рамках одного бизнес-процесса может быть выявлено несколько критических точек.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lastRenderedPageBreak/>
        <w:t xml:space="preserve">6.3.4. На 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 должности (полномочия) работников, наличие которых требуется для реализации каждой коррупционной схемы. На основе анализа критических точек составляют формализованное описание коррупционных рисков в каждой выявленной критической точке, включающее в том числе: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а) краткое описание распределяемой в критической точке выгоды (преимущества), стремление к получению которой работником (или) контрагентами является причиной совершения работником коррупционного правонарушения;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б) перечень потенциальных выгодоприобретателей – лиц, которые стремятся извлечь выгоду (преимущество) из совершения работником коррупционного правонарушения в рассматриваемой критической точке;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в) перечень должностей работников, без участия которых неправомерное распределение выгоды (преимущества) в критической точке невозможно или крайне затруднительно (перечень должностей, замещение которых связано с коррупционными рисками), с указанием возможной роли каждого работника в реализации коррупционной схемы;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г) краткое описание выгоды, получаемой работником (работниками), связанными с ним лицами или непосредственно самой Организацией, в результате совершения коррупционного правонарушения;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д) описание возможных способов передачи работнику (работникам) или должностному лицу (должностным лицам), с которым взаимодействует Организация, вознаграждения за совершение коррупционного правонарушения;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е) краткое описание способа совершения коррупционного правонарушения (коррупционной схемы), например: «Принятие решения о закупке для нужд организации товаров на заведомо невыгодных условиях в целях получения незаконного вознаграждения от поставщика»;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ж) развернутое описание способа совершения коррупционного правонарушения (коррупционной схемы), в том числе: инициатор коррупционного взаимодействия, последовательность действий и взаимодействий работника (работников) и контрагентов по неправомерному распределению выгоды (преимущества) и передаче работнику </w:t>
      </w:r>
      <w:r w:rsidRPr="00727E42">
        <w:rPr>
          <w:rFonts w:ascii="Times New Roman" w:hAnsi="Times New Roman" w:cs="Times New Roman"/>
          <w:sz w:val="26"/>
          <w:szCs w:val="26"/>
        </w:rPr>
        <w:lastRenderedPageBreak/>
        <w:t xml:space="preserve">(работникам) или должностным лицам, с которыми взаимодействует Организация, незаконного вознаграждения;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з) состав коррупционных правонарушений, которые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должны быть совершены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работником (работниками) для реализации коррупционной схемы, с указанием ссылок на конкретные положения нормативных правовых актов (по возможности);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и) процедуры внутреннего контроля в рассматриваемой критической точке: работники (структурные подразделения), наделенные полномочиями по осуществлению внутреннего контроля; периодичность контрольных мероприятий; краткое описание контрольных мероприятий;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к) возможные способы обхода механизмов внутреннего контроля.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6.4. По итогам оценки коррупционных рисков они ранжируются, и для каждой выявленной критической точки определяются возможные меры по минимизации соответствующих коррупционных рисков. Дополнительно оценивается объем финансовых затрат на реализацию этих мер, а также кадровые и иные ресурсы, необходимые для проведения соответствующих мероприятий.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6.5. Общий перечень выявленных коррупционных рисков оформляется в виде реестра (карты) коррупционных рисков. В качестве пояснения к реестру прикладывают отчет о проведении оценки коррупционных рисков, содержащий детальную информацию об использованных способах сбора необходимой информации, расчета основных показателей, обоснование предлагаемых мер по минимизации идентифицированных коррупционных рисков, а также формализованные описания коррупционных рисков в каждой выявленной критической точке.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6.6. На основании результатов анализа коррупционных рисков формируется перечень должностей в организации, замещение которых связано с коррупционными рисками, и проект плана мероприятий по минимизации коррупционных рисков в Организации. </w:t>
      </w:r>
    </w:p>
    <w:p w:rsidR="00900283" w:rsidRPr="00900283" w:rsidRDefault="00727E42" w:rsidP="00900283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00283">
        <w:rPr>
          <w:rFonts w:ascii="Times New Roman" w:hAnsi="Times New Roman" w:cs="Times New Roman"/>
          <w:b/>
          <w:sz w:val="26"/>
          <w:szCs w:val="26"/>
        </w:rPr>
        <w:t>7. Правила принятия мер по предотвращению и урегулированию конфликта интересов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7.1. Деятельность по предотвращению и урегулированию конфликта интересов в Организации осуществляется на основании следующих основных принципов: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приоритетного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применения мер по предупреждению коррупции; </w:t>
      </w:r>
    </w:p>
    <w:p w:rsidR="00900283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обязательности раскрытия сведений о реальном или потенциальном конфликте интересов;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индивидуального рассмотрения и оценки </w:t>
      </w:r>
      <w:r w:rsidR="00900283" w:rsidRPr="00727E42">
        <w:rPr>
          <w:rFonts w:ascii="Times New Roman" w:hAnsi="Times New Roman" w:cs="Times New Roman"/>
          <w:sz w:val="26"/>
          <w:szCs w:val="26"/>
        </w:rPr>
        <w:t>репетиционных</w:t>
      </w:r>
      <w:r w:rsidRPr="00727E42">
        <w:rPr>
          <w:rFonts w:ascii="Times New Roman" w:hAnsi="Times New Roman" w:cs="Times New Roman"/>
          <w:sz w:val="26"/>
          <w:szCs w:val="26"/>
        </w:rPr>
        <w:t xml:space="preserve"> рисков для Организации при выявлении каждого конфликта интересов и его урегулировании;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конфиденциальности сведений о конфликте интересов и процессе его урегулирования;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соблюдения баланса интересов Организац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работника при урегулировании конфликта интересов;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защиты работника от преследования в связи с направлением уведомления о конфликте интересов, который был своевременно раскрыт работником и урегулирован (предотвращен) Организацией.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7.2. Руководитель Организации создает комиссию по урегулированию конфликта интересов работников (далее – Комиссия), которая рассматривает и разрешает конфликт интересов работников.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7.3. В состав Комиссии входят работники Организации, председателем Комиссии является заместитель директора по учебной работе.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7.4. В 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 том числе определяющими порядок деятельности Комиссии.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7.5. Решение Комиссии является обязательным для всех работников и подлежит исполнению в сроки, предусмотренные указанным решением.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7.6. Конфликт интересов педагогического работника, понимаемый по смыслу пункта 33 статьи 2 Федерального закона от 29.12.2012 № 273- 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</w:t>
      </w:r>
      <w:r w:rsidR="00934BCD">
        <w:rPr>
          <w:rFonts w:ascii="Times New Roman" w:hAnsi="Times New Roman" w:cs="Times New Roman"/>
          <w:sz w:val="26"/>
          <w:szCs w:val="26"/>
        </w:rPr>
        <w:t>МБОУ «СОШ № 3»</w:t>
      </w:r>
      <w:r w:rsidRPr="00727E4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7.7. Работник при выполнении своих должностных обязанностей обязан: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соблюдать интересы Организации, прежде всего в отношении целей ее деятельности;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руководствоваться интересами Организации без учета своих личных интересов, интересов своих родственников, друзей и третьих лиц;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избегать ситуаций и обстоятельств, которые могут привести к конфликту интересов;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раскрывать возникший (реальный) или потенциальный конфликт интересов;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содействовать урегулированию возникшего конфликта интересов.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7.8. Работник при выполнении своих должностных обязанностей не должен использовать возможности Организации или допускать их использование в иных целях,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помимо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предусмотренных уставом организации.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7.9. Работники обязаны принимать меры по предотвращению ситуации конфликта интересов, руководствуясь требованиями законодательства и Политикой.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7.10. Примерный перечень ситуаций,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которых возникает или может возникнуть конфликт интересов: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7.10.1. Директор или работник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7.10.2.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 xml:space="preserve">Работник,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являющегося его родственником, иным близким лицом, или организации, в которой руководителем или заместителем является его родственник или иное лицо, с которым связана личная заинтересованность работника организации. </w:t>
      </w:r>
      <w:proofErr w:type="gramEnd"/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7.10.3. Работник,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являющегося поставщиком товаров, работ и услуг Организации.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7.10.4.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 xml:space="preserve">Работник 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 </w:t>
      </w:r>
      <w:proofErr w:type="gramEnd"/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7.10.5. Педагогический работник осуществляет частное репетиторство с обучающимся класса, в котором является классным руководителем, на территории </w:t>
      </w:r>
      <w:r w:rsidRPr="00727E42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Организации. Такой конфликт интересов рассматривается на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заседании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Комиссии по урегулированию споров в соответствии с пунктом 2.5 настоящего Положения.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7.11. Раскрытие конфликта интересов осуществляется в письменной форме путем направления на имя заместителя директора по безопасности уведомления о наличии личной заинтересованности при исполнении обязанностей, которая приводит или может привести к конфликту интересов.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7.12. Допустимо первоначальное раскрытие информации о конфликте интересов в устной форме с последующей фиксацией в письменном виде.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7.13.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 такая сделка может быть признана судом недействительной.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>7.14. Способами урегулирования конфликта инте</w:t>
      </w:r>
      <w:r w:rsidR="00934BCD">
        <w:rPr>
          <w:rFonts w:ascii="Times New Roman" w:hAnsi="Times New Roman" w:cs="Times New Roman"/>
          <w:sz w:val="26"/>
          <w:szCs w:val="26"/>
        </w:rPr>
        <w:t>ресов в организации могут быть: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ограничение доступа работника к информации,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может затрагивать его личные интересы;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пересмотр и изменение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должностных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обязанностей работника;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 xml:space="preserve">перевод работника на должность, предусматривающую выполнение функциональных обязанностей, исключающих конфликт интересов, в соответствии с Трудовым кодексом РФ; </w:t>
      </w:r>
      <w:proofErr w:type="gramEnd"/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отказ работника от своего личного интереса, порождающего конфликт с интересами организации;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увольнение работника по основаниям, установленным Трудовым кодексом РФ;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отказ работника от принятия решения в пользу лица, с которым связана личная заинтересованность работника;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 xml:space="preserve"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 </w:t>
      </w:r>
      <w:proofErr w:type="gramEnd"/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иные способы урегулирования конфликта интересов. </w:t>
      </w:r>
    </w:p>
    <w:p w:rsidR="00934BCD" w:rsidRDefault="00934BCD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727E42" w:rsidRPr="00727E42">
        <w:rPr>
          <w:rFonts w:ascii="Times New Roman" w:hAnsi="Times New Roman" w:cs="Times New Roman"/>
          <w:sz w:val="26"/>
          <w:szCs w:val="26"/>
        </w:rPr>
        <w:t xml:space="preserve">15. При урегулировании конфликта интересов учитывается степень личного интереса работника и вероятность того, что его личный интерес будет реализован в ущерб интересам Организации. </w:t>
      </w:r>
    </w:p>
    <w:p w:rsidR="00934BCD" w:rsidRPr="00934BCD" w:rsidRDefault="00727E42" w:rsidP="00934BCD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34BCD">
        <w:rPr>
          <w:rFonts w:ascii="Times New Roman" w:hAnsi="Times New Roman" w:cs="Times New Roman"/>
          <w:b/>
          <w:sz w:val="26"/>
          <w:szCs w:val="26"/>
        </w:rPr>
        <w:t>8. Порядок взаимодействия с правоохранительными и иными государственными органами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>8.1. Организация сообщает в соответствующие правоохранительные органы о случаях совершения коррупционных правонарушений, о которых Организац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работникам стало известно.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8.2.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 xml:space="preserve">Организации воздерживается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8.3. В случае обнаружения признаков коррупционных правонарушений Организация и ее работники обязаны обращаться в соответствующие правоохранительные органы: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Следственный комитет РФ;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Главное управление экономической безопасности и противодействия коррупции Министерства внутренних дел РФ;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Главное управление собственной безопасности Министерства внутренних дел РФ – если сообщение о фактах коррупции касается непосредственно системы МВД России;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прокуратуру субъекта РФ.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8.4. Организация сотрудничает с правоохранительными органами также в форме: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коррупции; </w:t>
      </w:r>
    </w:p>
    <w:p w:rsidR="00934BCD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lastRenderedPageBreak/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</w:t>
      </w:r>
      <w:r w:rsidR="00934BCD" w:rsidRPr="00727E42">
        <w:rPr>
          <w:rFonts w:ascii="Times New Roman" w:hAnsi="Times New Roman" w:cs="Times New Roman"/>
          <w:sz w:val="26"/>
          <w:szCs w:val="26"/>
        </w:rPr>
        <w:t>розыскные</w:t>
      </w:r>
      <w:r w:rsidRPr="00727E42">
        <w:rPr>
          <w:rFonts w:ascii="Times New Roman" w:hAnsi="Times New Roman" w:cs="Times New Roman"/>
          <w:sz w:val="26"/>
          <w:szCs w:val="26"/>
        </w:rPr>
        <w:t xml:space="preserve"> мероприятия. </w:t>
      </w:r>
    </w:p>
    <w:p w:rsidR="00934BCD" w:rsidRPr="00934BCD" w:rsidRDefault="00727E42" w:rsidP="00934BCD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34BCD">
        <w:rPr>
          <w:rFonts w:ascii="Times New Roman" w:hAnsi="Times New Roman" w:cs="Times New Roman"/>
          <w:b/>
          <w:sz w:val="26"/>
          <w:szCs w:val="26"/>
        </w:rPr>
        <w:t>9. Антикоррупционная программа</w:t>
      </w:r>
    </w:p>
    <w:p w:rsidR="00A60849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9.1. Организация разрабатывает программу противодействия коррупции с целью упорядочивания антикоррупционных мероприятий Организации. </w:t>
      </w:r>
    </w:p>
    <w:p w:rsidR="00A60849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9.2. Программа противодействия коррупции включает: </w:t>
      </w:r>
    </w:p>
    <w:p w:rsidR="00A60849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пояснительную записку; </w:t>
      </w:r>
    </w:p>
    <w:p w:rsidR="00A60849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паспорт программы с указанием сроков ее реализации; </w:t>
      </w:r>
    </w:p>
    <w:p w:rsidR="00A60849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sym w:font="Symbol" w:char="F0B7"/>
      </w:r>
      <w:r w:rsidRPr="00727E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основную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часть с планом программных мероприятий. </w:t>
      </w:r>
    </w:p>
    <w:p w:rsidR="00A60849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9.3. Программа противодействия коррупции является частью антикоррупционной политики Организации. </w:t>
      </w:r>
    </w:p>
    <w:p w:rsidR="00A60849" w:rsidRPr="00A60849" w:rsidRDefault="00727E42" w:rsidP="00A60849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60849">
        <w:rPr>
          <w:rFonts w:ascii="Times New Roman" w:hAnsi="Times New Roman" w:cs="Times New Roman"/>
          <w:b/>
          <w:sz w:val="26"/>
          <w:szCs w:val="26"/>
        </w:rPr>
        <w:t>10. Изменение Политики</w:t>
      </w:r>
    </w:p>
    <w:p w:rsidR="00A60849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10.1. Пересмотр Политики может проводиться в случае внесения соответствующих изменений в действующее законодательство РФ по противодействию коррупции. </w:t>
      </w:r>
    </w:p>
    <w:p w:rsidR="00A60849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 xml:space="preserve">10.2. Должностное лицо, ответственное за реализацию Политики, ежегодно готовит отчет о реализации мер по предупреждению коррупции, представляет его руководителю Организации. На основании указанного отчета в Политику </w:t>
      </w:r>
      <w:proofErr w:type="gramStart"/>
      <w:r w:rsidRPr="00727E42">
        <w:rPr>
          <w:rFonts w:ascii="Times New Roman" w:hAnsi="Times New Roman" w:cs="Times New Roman"/>
          <w:sz w:val="26"/>
          <w:szCs w:val="26"/>
        </w:rPr>
        <w:t>могут быть внесены</w:t>
      </w:r>
      <w:proofErr w:type="gramEnd"/>
      <w:r w:rsidRPr="00727E42">
        <w:rPr>
          <w:rFonts w:ascii="Times New Roman" w:hAnsi="Times New Roman" w:cs="Times New Roman"/>
          <w:sz w:val="26"/>
          <w:szCs w:val="26"/>
        </w:rPr>
        <w:t xml:space="preserve"> изменения. </w:t>
      </w:r>
    </w:p>
    <w:p w:rsidR="00923262" w:rsidRPr="00727E42" w:rsidRDefault="00727E42" w:rsidP="00900283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27E42">
        <w:rPr>
          <w:rFonts w:ascii="Times New Roman" w:hAnsi="Times New Roman" w:cs="Times New Roman"/>
          <w:sz w:val="26"/>
          <w:szCs w:val="26"/>
        </w:rPr>
        <w:t>10.3. Внесение изменений и дополнений в Политику осуществляется путем подготовки проекта Политики в обновленной редакции и утверждения новой Политики руководителем Организации.</w:t>
      </w: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Default="00923262" w:rsidP="00923262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60849" w:rsidRDefault="00A60849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60849" w:rsidRDefault="00A60849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Pr="00923262" w:rsidRDefault="00A60849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Лист</w:t>
      </w:r>
      <w:r w:rsidR="00923262">
        <w:rPr>
          <w:rFonts w:ascii="Times New Roman" w:hAnsi="Times New Roman" w:cs="Times New Roman"/>
          <w:sz w:val="26"/>
          <w:szCs w:val="26"/>
        </w:rPr>
        <w:t xml:space="preserve"> ознакомления с </w:t>
      </w:r>
      <w:r>
        <w:rPr>
          <w:rFonts w:ascii="Times New Roman" w:hAnsi="Times New Roman" w:cs="Times New Roman"/>
          <w:sz w:val="26"/>
          <w:szCs w:val="26"/>
        </w:rPr>
        <w:t>Антикоррупционной политикой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2693"/>
        <w:gridCol w:w="2151"/>
      </w:tblGrid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№ п\</w:t>
            </w:r>
            <w:proofErr w:type="gramStart"/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394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693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Дата ознакомления</w:t>
            </w:r>
          </w:p>
        </w:tc>
        <w:tc>
          <w:tcPr>
            <w:tcW w:w="2151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Подпись</w:t>
            </w: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EB3C54" w:rsidRPr="004F241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sectPr w:rsidR="00EB3C54" w:rsidRPr="004F2414" w:rsidSect="00EB3C54">
      <w:footerReference w:type="default" r:id="rId8"/>
      <w:type w:val="continuous"/>
      <w:pgSz w:w="11906" w:h="16838"/>
      <w:pgMar w:top="993" w:right="649" w:bottom="851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C4" w:rsidRDefault="00B82DC4" w:rsidP="00224825">
      <w:pPr>
        <w:spacing w:line="240" w:lineRule="auto"/>
      </w:pPr>
      <w:r>
        <w:separator/>
      </w:r>
    </w:p>
  </w:endnote>
  <w:endnote w:type="continuationSeparator" w:id="0">
    <w:p w:rsidR="00B82DC4" w:rsidRDefault="00B82DC4" w:rsidP="00224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847641"/>
      <w:docPartObj>
        <w:docPartGallery w:val="Page Numbers (Bottom of Page)"/>
        <w:docPartUnique/>
      </w:docPartObj>
    </w:sdtPr>
    <w:sdtEndPr/>
    <w:sdtContent>
      <w:p w:rsidR="00224825" w:rsidRDefault="002248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D8F">
          <w:rPr>
            <w:noProof/>
          </w:rPr>
          <w:t>1</w:t>
        </w:r>
        <w:r>
          <w:fldChar w:fldCharType="end"/>
        </w:r>
      </w:p>
    </w:sdtContent>
  </w:sdt>
  <w:p w:rsidR="00224825" w:rsidRDefault="002248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C4" w:rsidRDefault="00B82DC4" w:rsidP="00224825">
      <w:pPr>
        <w:spacing w:line="240" w:lineRule="auto"/>
      </w:pPr>
      <w:r>
        <w:separator/>
      </w:r>
    </w:p>
  </w:footnote>
  <w:footnote w:type="continuationSeparator" w:id="0">
    <w:p w:rsidR="00B82DC4" w:rsidRDefault="00B82DC4" w:rsidP="00224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F69"/>
    <w:multiLevelType w:val="multilevel"/>
    <w:tmpl w:val="F6F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678E4"/>
    <w:multiLevelType w:val="multilevel"/>
    <w:tmpl w:val="108A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47B03"/>
    <w:multiLevelType w:val="multilevel"/>
    <w:tmpl w:val="FB22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D024D"/>
    <w:multiLevelType w:val="hybridMultilevel"/>
    <w:tmpl w:val="6D782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8434B6"/>
    <w:multiLevelType w:val="hybridMultilevel"/>
    <w:tmpl w:val="9F48024C"/>
    <w:lvl w:ilvl="0" w:tplc="F848A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4F3709"/>
    <w:multiLevelType w:val="multilevel"/>
    <w:tmpl w:val="1648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A6089"/>
    <w:multiLevelType w:val="multilevel"/>
    <w:tmpl w:val="506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E5BC6"/>
    <w:multiLevelType w:val="multilevel"/>
    <w:tmpl w:val="F8E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63C00"/>
    <w:multiLevelType w:val="multilevel"/>
    <w:tmpl w:val="0C8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1A6421"/>
    <w:multiLevelType w:val="multilevel"/>
    <w:tmpl w:val="2C4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0B2DF2"/>
    <w:multiLevelType w:val="multilevel"/>
    <w:tmpl w:val="D48C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1521A"/>
    <w:multiLevelType w:val="multilevel"/>
    <w:tmpl w:val="F9A2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8F296C"/>
    <w:multiLevelType w:val="multilevel"/>
    <w:tmpl w:val="9E4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1FF"/>
    <w:rsid w:val="00002B44"/>
    <w:rsid w:val="00041F65"/>
    <w:rsid w:val="00046D99"/>
    <w:rsid w:val="000701A8"/>
    <w:rsid w:val="000818D3"/>
    <w:rsid w:val="000B4B60"/>
    <w:rsid w:val="000D1FF7"/>
    <w:rsid w:val="000D2E22"/>
    <w:rsid w:val="000D30C5"/>
    <w:rsid w:val="000E51B4"/>
    <w:rsid w:val="001409C1"/>
    <w:rsid w:val="00146641"/>
    <w:rsid w:val="001A36B3"/>
    <w:rsid w:val="001A793C"/>
    <w:rsid w:val="001F5349"/>
    <w:rsid w:val="002122BB"/>
    <w:rsid w:val="00213541"/>
    <w:rsid w:val="00224825"/>
    <w:rsid w:val="0023774C"/>
    <w:rsid w:val="002A2AF5"/>
    <w:rsid w:val="002F7C7B"/>
    <w:rsid w:val="00311845"/>
    <w:rsid w:val="003226C0"/>
    <w:rsid w:val="00322BB0"/>
    <w:rsid w:val="00334638"/>
    <w:rsid w:val="003972AD"/>
    <w:rsid w:val="003E04C4"/>
    <w:rsid w:val="00424349"/>
    <w:rsid w:val="0043259C"/>
    <w:rsid w:val="004712F3"/>
    <w:rsid w:val="004777C7"/>
    <w:rsid w:val="0049398A"/>
    <w:rsid w:val="004B4C22"/>
    <w:rsid w:val="004F2414"/>
    <w:rsid w:val="004F70EB"/>
    <w:rsid w:val="00522E85"/>
    <w:rsid w:val="00535003"/>
    <w:rsid w:val="005419A1"/>
    <w:rsid w:val="005F5A9B"/>
    <w:rsid w:val="00621237"/>
    <w:rsid w:val="006361D5"/>
    <w:rsid w:val="00640A7B"/>
    <w:rsid w:val="0068246A"/>
    <w:rsid w:val="00685E66"/>
    <w:rsid w:val="006E1CE5"/>
    <w:rsid w:val="006E7C5F"/>
    <w:rsid w:val="006F7A74"/>
    <w:rsid w:val="00727E42"/>
    <w:rsid w:val="007B668D"/>
    <w:rsid w:val="007F60BB"/>
    <w:rsid w:val="00810C3F"/>
    <w:rsid w:val="00840BBD"/>
    <w:rsid w:val="0085169D"/>
    <w:rsid w:val="008D6381"/>
    <w:rsid w:val="008E2912"/>
    <w:rsid w:val="00900283"/>
    <w:rsid w:val="00923262"/>
    <w:rsid w:val="009308EA"/>
    <w:rsid w:val="009342FA"/>
    <w:rsid w:val="00934BCD"/>
    <w:rsid w:val="009419CC"/>
    <w:rsid w:val="00946443"/>
    <w:rsid w:val="00981C99"/>
    <w:rsid w:val="009D34CC"/>
    <w:rsid w:val="00A02BAB"/>
    <w:rsid w:val="00A12CD5"/>
    <w:rsid w:val="00A161FF"/>
    <w:rsid w:val="00A60849"/>
    <w:rsid w:val="00A73857"/>
    <w:rsid w:val="00A846A9"/>
    <w:rsid w:val="00A928E4"/>
    <w:rsid w:val="00AE290C"/>
    <w:rsid w:val="00AE5285"/>
    <w:rsid w:val="00B11539"/>
    <w:rsid w:val="00B133DE"/>
    <w:rsid w:val="00B24CC5"/>
    <w:rsid w:val="00B411F1"/>
    <w:rsid w:val="00B64756"/>
    <w:rsid w:val="00B74D19"/>
    <w:rsid w:val="00B82DC4"/>
    <w:rsid w:val="00BA41E8"/>
    <w:rsid w:val="00BD2E64"/>
    <w:rsid w:val="00BE2CA7"/>
    <w:rsid w:val="00C26516"/>
    <w:rsid w:val="00C30A96"/>
    <w:rsid w:val="00C826DC"/>
    <w:rsid w:val="00C87E49"/>
    <w:rsid w:val="00C90AFA"/>
    <w:rsid w:val="00CA47E0"/>
    <w:rsid w:val="00CB58A2"/>
    <w:rsid w:val="00CB6C87"/>
    <w:rsid w:val="00CF00B7"/>
    <w:rsid w:val="00D132DA"/>
    <w:rsid w:val="00D23116"/>
    <w:rsid w:val="00D270F1"/>
    <w:rsid w:val="00D707B4"/>
    <w:rsid w:val="00DF659A"/>
    <w:rsid w:val="00E01B63"/>
    <w:rsid w:val="00E149D9"/>
    <w:rsid w:val="00E5058D"/>
    <w:rsid w:val="00E71B25"/>
    <w:rsid w:val="00EB3C54"/>
    <w:rsid w:val="00F03AF2"/>
    <w:rsid w:val="00F41D8F"/>
    <w:rsid w:val="00F619B7"/>
    <w:rsid w:val="00F856E2"/>
    <w:rsid w:val="00F94CA7"/>
    <w:rsid w:val="00FD63FA"/>
    <w:rsid w:val="00FE2C3E"/>
    <w:rsid w:val="00FF0DFF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1FF7"/>
    <w:pPr>
      <w:widowControl w:val="0"/>
      <w:autoSpaceDE w:val="0"/>
      <w:autoSpaceDN w:val="0"/>
      <w:spacing w:line="240" w:lineRule="auto"/>
      <w:ind w:left="297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25"/>
  </w:style>
  <w:style w:type="paragraph" w:styleId="a5">
    <w:name w:val="footer"/>
    <w:basedOn w:val="a"/>
    <w:link w:val="a6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25"/>
  </w:style>
  <w:style w:type="paragraph" w:styleId="a7">
    <w:name w:val="Balloon Text"/>
    <w:basedOn w:val="a"/>
    <w:link w:val="a8"/>
    <w:uiPriority w:val="99"/>
    <w:semiHidden/>
    <w:unhideWhenUsed/>
    <w:rsid w:val="00BD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CF00B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24CC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C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4CC5"/>
    <w:rPr>
      <w:vertAlign w:val="superscript"/>
    </w:rPr>
  </w:style>
  <w:style w:type="character" w:styleId="ad">
    <w:name w:val="Hyperlink"/>
    <w:basedOn w:val="a0"/>
    <w:uiPriority w:val="99"/>
    <w:unhideWhenUsed/>
    <w:rsid w:val="003118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D1F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F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D1F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1F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1FF7"/>
    <w:pPr>
      <w:widowControl w:val="0"/>
      <w:autoSpaceDE w:val="0"/>
      <w:autoSpaceDN w:val="0"/>
      <w:spacing w:line="237" w:lineRule="exact"/>
      <w:ind w:left="134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0D1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1FF7"/>
    <w:pPr>
      <w:widowControl w:val="0"/>
      <w:autoSpaceDE w:val="0"/>
      <w:autoSpaceDN w:val="0"/>
      <w:spacing w:line="240" w:lineRule="auto"/>
      <w:ind w:left="297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25"/>
  </w:style>
  <w:style w:type="paragraph" w:styleId="a5">
    <w:name w:val="footer"/>
    <w:basedOn w:val="a"/>
    <w:link w:val="a6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25"/>
  </w:style>
  <w:style w:type="paragraph" w:styleId="a7">
    <w:name w:val="Balloon Text"/>
    <w:basedOn w:val="a"/>
    <w:link w:val="a8"/>
    <w:uiPriority w:val="99"/>
    <w:semiHidden/>
    <w:unhideWhenUsed/>
    <w:rsid w:val="00BD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CF00B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24CC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C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4CC5"/>
    <w:rPr>
      <w:vertAlign w:val="superscript"/>
    </w:rPr>
  </w:style>
  <w:style w:type="character" w:styleId="ad">
    <w:name w:val="Hyperlink"/>
    <w:basedOn w:val="a0"/>
    <w:uiPriority w:val="99"/>
    <w:unhideWhenUsed/>
    <w:rsid w:val="003118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D1F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F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D1F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1F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1FF7"/>
    <w:pPr>
      <w:widowControl w:val="0"/>
      <w:autoSpaceDE w:val="0"/>
      <w:autoSpaceDN w:val="0"/>
      <w:spacing w:line="237" w:lineRule="exact"/>
      <w:ind w:left="134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0D1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6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4182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2024-12-06T08:02:00Z</cp:lastPrinted>
  <dcterms:created xsi:type="dcterms:W3CDTF">2024-12-06T08:02:00Z</dcterms:created>
  <dcterms:modified xsi:type="dcterms:W3CDTF">2025-01-10T10:14:00Z</dcterms:modified>
</cp:coreProperties>
</file>